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AB5D2" w14:textId="77777777" w:rsidR="00283EB8" w:rsidRDefault="00000000">
      <w:pPr>
        <w:spacing w:after="200"/>
        <w:jc w:val="center"/>
        <w:rPr>
          <w:rFonts w:ascii="Times New Roman" w:eastAsia="Times New Roman" w:hAnsi="Times New Roman" w:cs="Times New Roman"/>
          <w:b/>
          <w:sz w:val="32"/>
          <w:szCs w:val="32"/>
        </w:rPr>
      </w:pPr>
      <w:r>
        <w:rPr>
          <w:rFonts w:ascii="Times New Roman" w:eastAsia="Times New Roman" w:hAnsi="Times New Roman" w:cs="Times New Roman"/>
          <w:b/>
          <w:noProof/>
          <w:sz w:val="32"/>
          <w:szCs w:val="32"/>
        </w:rPr>
        <w:drawing>
          <wp:inline distT="0" distB="0" distL="0" distR="0" wp14:anchorId="5A9DE94E" wp14:editId="770C3CF5">
            <wp:extent cx="1623060" cy="1600200"/>
            <wp:effectExtent l="0" t="0" r="0" b="0"/>
            <wp:docPr id="1" name="image1.jpg" descr="A coin with a picture of two people on i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jpg" descr="A coin with a picture of two people on it&#10;&#10;Description automatically generated with low confidence"/>
                    <pic:cNvPicPr preferRelativeResize="0"/>
                  </pic:nvPicPr>
                  <pic:blipFill>
                    <a:blip r:embed="rId5"/>
                    <a:srcRect/>
                    <a:stretch>
                      <a:fillRect/>
                    </a:stretch>
                  </pic:blipFill>
                  <pic:spPr>
                    <a:xfrm>
                      <a:off x="0" y="0"/>
                      <a:ext cx="1623060" cy="1600200"/>
                    </a:xfrm>
                    <a:prstGeom prst="rect">
                      <a:avLst/>
                    </a:prstGeom>
                    <a:ln/>
                  </pic:spPr>
                </pic:pic>
              </a:graphicData>
            </a:graphic>
          </wp:inline>
        </w:drawing>
      </w:r>
    </w:p>
    <w:p w14:paraId="029E245E" w14:textId="77777777" w:rsidR="00283EB8" w:rsidRDefault="00000000">
      <w:pPr>
        <w:spacing w:after="200"/>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STATE OF INDIANA</w:t>
      </w:r>
    </w:p>
    <w:p w14:paraId="07E5CCEB" w14:textId="77777777" w:rsidR="00283EB8" w:rsidRDefault="00000000">
      <w:pPr>
        <w:spacing w:after="2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Request for Information 25-81835</w:t>
      </w:r>
    </w:p>
    <w:p w14:paraId="15F311A4" w14:textId="77777777" w:rsidR="00283EB8" w:rsidRDefault="00000000">
      <w:pPr>
        <w:spacing w:after="20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Informal Questions &amp; Answers</w:t>
      </w:r>
    </w:p>
    <w:p w14:paraId="28F888E0" w14:textId="77777777" w:rsidR="00283EB8" w:rsidRDefault="00000000">
      <w:pPr>
        <w:spacing w:after="20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INDIANA DEPARTMENT OF ADMINISTRATION</w:t>
      </w:r>
    </w:p>
    <w:p w14:paraId="61A7CED4" w14:textId="77777777" w:rsidR="00283EB8" w:rsidRDefault="00000000">
      <w:pPr>
        <w:spacing w:after="20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On Behalf Of</w:t>
      </w:r>
    </w:p>
    <w:p w14:paraId="7DB68E37" w14:textId="77777777" w:rsidR="00283EB8" w:rsidRDefault="00000000">
      <w:pPr>
        <w:spacing w:after="20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Family and Social Services Administration (FSSA) </w:t>
      </w:r>
    </w:p>
    <w:p w14:paraId="5F7ACB6A" w14:textId="77777777" w:rsidR="00283EB8" w:rsidRDefault="00000000">
      <w:pPr>
        <w:spacing w:after="20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and</w:t>
      </w:r>
    </w:p>
    <w:p w14:paraId="04DA9008" w14:textId="77777777" w:rsidR="00283EB8" w:rsidRDefault="00000000">
      <w:pPr>
        <w:spacing w:after="20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Department of Child Services (DCS)</w:t>
      </w:r>
    </w:p>
    <w:p w14:paraId="4FD4334F" w14:textId="77777777" w:rsidR="00283EB8" w:rsidRDefault="00000000">
      <w:pPr>
        <w:spacing w:after="20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Request for Information Regarding:</w:t>
      </w:r>
    </w:p>
    <w:p w14:paraId="1AC14494" w14:textId="77777777" w:rsidR="00283EB8" w:rsidRDefault="00000000">
      <w:pPr>
        <w:spacing w:after="20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Youth Transitional Homes and Caregiver Coaching</w:t>
      </w:r>
    </w:p>
    <w:p w14:paraId="0370A44E" w14:textId="77777777" w:rsidR="00283EB8" w:rsidRDefault="00283EB8">
      <w:pPr>
        <w:spacing w:after="200"/>
        <w:jc w:val="center"/>
        <w:rPr>
          <w:rFonts w:ascii="Times New Roman" w:eastAsia="Times New Roman" w:hAnsi="Times New Roman" w:cs="Times New Roman"/>
          <w:b/>
          <w:sz w:val="32"/>
          <w:szCs w:val="32"/>
        </w:rPr>
      </w:pPr>
    </w:p>
    <w:p w14:paraId="135C0334" w14:textId="77777777" w:rsidR="00283EB8" w:rsidRDefault="00000000">
      <w:pPr>
        <w:spacing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Response Due Date: December 16, 2024</w:t>
      </w:r>
    </w:p>
    <w:p w14:paraId="4BF3A494" w14:textId="77777777" w:rsidR="00283EB8" w:rsidRDefault="00283EB8">
      <w:pPr>
        <w:spacing w:after="200"/>
        <w:rPr>
          <w:rFonts w:ascii="Times New Roman" w:eastAsia="Times New Roman" w:hAnsi="Times New Roman" w:cs="Times New Roman"/>
        </w:rPr>
      </w:pPr>
    </w:p>
    <w:p w14:paraId="5CFD8E91" w14:textId="77777777" w:rsidR="00283EB8" w:rsidRDefault="00000000">
      <w:pPr>
        <w:jc w:val="right"/>
        <w:rPr>
          <w:rFonts w:ascii="Times New Roman" w:eastAsia="Times New Roman" w:hAnsi="Times New Roman" w:cs="Times New Roman"/>
        </w:rPr>
      </w:pPr>
      <w:bookmarkStart w:id="0" w:name="_gjdgxs" w:colFirst="0" w:colLast="0"/>
      <w:bookmarkEnd w:id="0"/>
      <w:r>
        <w:rPr>
          <w:rFonts w:ascii="Times New Roman" w:eastAsia="Times New Roman" w:hAnsi="Times New Roman" w:cs="Times New Roman"/>
        </w:rPr>
        <w:t xml:space="preserve">     Angie Alexander, Procurement Consultant</w:t>
      </w:r>
    </w:p>
    <w:p w14:paraId="0653317D" w14:textId="77777777" w:rsidR="00283EB8" w:rsidRDefault="00000000">
      <w:pPr>
        <w:jc w:val="right"/>
        <w:rPr>
          <w:rFonts w:ascii="Times New Roman" w:eastAsia="Times New Roman" w:hAnsi="Times New Roman" w:cs="Times New Roman"/>
        </w:rPr>
      </w:pPr>
      <w:r>
        <w:rPr>
          <w:rFonts w:ascii="Times New Roman" w:eastAsia="Times New Roman" w:hAnsi="Times New Roman" w:cs="Times New Roman"/>
        </w:rPr>
        <w:t>Indiana Department of Administration</w:t>
      </w:r>
    </w:p>
    <w:p w14:paraId="409E2F99" w14:textId="77777777" w:rsidR="00283EB8" w:rsidRDefault="00000000">
      <w:pPr>
        <w:jc w:val="right"/>
        <w:rPr>
          <w:rFonts w:ascii="Times New Roman" w:eastAsia="Times New Roman" w:hAnsi="Times New Roman" w:cs="Times New Roman"/>
        </w:rPr>
      </w:pPr>
      <w:r>
        <w:rPr>
          <w:rFonts w:ascii="Times New Roman" w:eastAsia="Times New Roman" w:hAnsi="Times New Roman" w:cs="Times New Roman"/>
        </w:rPr>
        <w:t>Procurement Division</w:t>
      </w:r>
    </w:p>
    <w:p w14:paraId="0F94DA59" w14:textId="77777777" w:rsidR="00283EB8" w:rsidRDefault="00000000">
      <w:pPr>
        <w:jc w:val="right"/>
        <w:rPr>
          <w:rFonts w:ascii="Times New Roman" w:eastAsia="Times New Roman" w:hAnsi="Times New Roman" w:cs="Times New Roman"/>
        </w:rPr>
      </w:pPr>
      <w:r>
        <w:rPr>
          <w:rFonts w:ascii="Times New Roman" w:eastAsia="Times New Roman" w:hAnsi="Times New Roman" w:cs="Times New Roman"/>
        </w:rPr>
        <w:t>402 W. Washington St., Room W468</w:t>
      </w:r>
    </w:p>
    <w:p w14:paraId="5C895309" w14:textId="77777777" w:rsidR="00283EB8" w:rsidRDefault="00000000">
      <w:pPr>
        <w:jc w:val="right"/>
        <w:rPr>
          <w:rFonts w:ascii="Times New Roman" w:eastAsia="Times New Roman" w:hAnsi="Times New Roman" w:cs="Times New Roman"/>
        </w:rPr>
      </w:pPr>
      <w:r>
        <w:rPr>
          <w:rFonts w:ascii="Times New Roman" w:eastAsia="Times New Roman" w:hAnsi="Times New Roman" w:cs="Times New Roman"/>
        </w:rPr>
        <w:t>Indianapolis, Indiana 46204</w:t>
      </w:r>
    </w:p>
    <w:p w14:paraId="1B435DC8" w14:textId="77777777" w:rsidR="00283EB8" w:rsidRDefault="00283EB8">
      <w:pPr>
        <w:jc w:val="right"/>
        <w:rPr>
          <w:rFonts w:ascii="Times New Roman" w:eastAsia="Times New Roman" w:hAnsi="Times New Roman" w:cs="Times New Roman"/>
        </w:rPr>
      </w:pPr>
    </w:p>
    <w:p w14:paraId="02718F83" w14:textId="77777777" w:rsidR="00283EB8" w:rsidRDefault="00283EB8">
      <w:pPr>
        <w:jc w:val="right"/>
        <w:rPr>
          <w:rFonts w:ascii="Times New Roman" w:eastAsia="Times New Roman" w:hAnsi="Times New Roman" w:cs="Times New Roman"/>
        </w:rPr>
      </w:pPr>
    </w:p>
    <w:p w14:paraId="599B3D80" w14:textId="77777777" w:rsidR="00283EB8" w:rsidRDefault="00283EB8">
      <w:pPr>
        <w:jc w:val="right"/>
        <w:rPr>
          <w:rFonts w:ascii="Times New Roman" w:eastAsia="Times New Roman" w:hAnsi="Times New Roman" w:cs="Times New Roman"/>
        </w:rPr>
      </w:pPr>
    </w:p>
    <w:p w14:paraId="33933816" w14:textId="77777777" w:rsidR="00283EB8" w:rsidRDefault="00000000">
      <w:pPr>
        <w:rPr>
          <w:rFonts w:ascii="Times New Roman" w:eastAsia="Times New Roman" w:hAnsi="Times New Roman" w:cs="Times New Roman"/>
        </w:rPr>
      </w:pPr>
      <w:r>
        <w:rPr>
          <w:rFonts w:ascii="Times New Roman" w:eastAsia="Times New Roman" w:hAnsi="Times New Roman" w:cs="Times New Roman"/>
        </w:rPr>
        <w:t>The State received informal questions from potential respondents following the official Q&amp;A period. Please see these questions and published responses below:</w:t>
      </w:r>
    </w:p>
    <w:p w14:paraId="31DB73A4" w14:textId="77777777" w:rsidR="00283EB8" w:rsidRDefault="00283EB8">
      <w:pPr>
        <w:rPr>
          <w:rFonts w:ascii="Times New Roman" w:eastAsia="Times New Roman" w:hAnsi="Times New Roman" w:cs="Times New Roman"/>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95"/>
        <w:gridCol w:w="5265"/>
      </w:tblGrid>
      <w:tr w:rsidR="00283EB8" w14:paraId="3BC97D2F" w14:textId="77777777">
        <w:tc>
          <w:tcPr>
            <w:tcW w:w="4095" w:type="dxa"/>
            <w:shd w:val="clear" w:color="auto" w:fill="B7B7B7"/>
            <w:tcMar>
              <w:top w:w="100" w:type="dxa"/>
              <w:left w:w="100" w:type="dxa"/>
              <w:bottom w:w="100" w:type="dxa"/>
              <w:right w:w="100" w:type="dxa"/>
            </w:tcMar>
          </w:tcPr>
          <w:p w14:paraId="4AF037A4" w14:textId="77777777" w:rsidR="00283EB8" w:rsidRDefault="00000000">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Questions</w:t>
            </w:r>
          </w:p>
        </w:tc>
        <w:tc>
          <w:tcPr>
            <w:tcW w:w="5265" w:type="dxa"/>
            <w:shd w:val="clear" w:color="auto" w:fill="B7B7B7"/>
            <w:tcMar>
              <w:top w:w="100" w:type="dxa"/>
              <w:left w:w="100" w:type="dxa"/>
              <w:bottom w:w="100" w:type="dxa"/>
              <w:right w:w="100" w:type="dxa"/>
            </w:tcMar>
          </w:tcPr>
          <w:p w14:paraId="7C9358FB" w14:textId="77777777" w:rsidR="00283EB8" w:rsidRDefault="00000000">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Answers</w:t>
            </w:r>
          </w:p>
        </w:tc>
      </w:tr>
      <w:tr w:rsidR="00283EB8" w14:paraId="19224D0B" w14:textId="77777777">
        <w:tc>
          <w:tcPr>
            <w:tcW w:w="4095" w:type="dxa"/>
            <w:shd w:val="clear" w:color="auto" w:fill="auto"/>
            <w:tcMar>
              <w:top w:w="100" w:type="dxa"/>
              <w:left w:w="100" w:type="dxa"/>
              <w:bottom w:w="100" w:type="dxa"/>
              <w:right w:w="100" w:type="dxa"/>
            </w:tcMar>
          </w:tcPr>
          <w:p w14:paraId="3BD45269" w14:textId="77777777" w:rsidR="00283EB8" w:rsidRDefault="00000000">
            <w:pPr>
              <w:widowControl w:val="0"/>
              <w:numPr>
                <w:ilvl w:val="0"/>
                <w:numId w:val="1"/>
              </w:numPr>
              <w:spacing w:line="240" w:lineRule="auto"/>
              <w:rPr>
                <w:rFonts w:ascii="Times New Roman" w:eastAsia="Times New Roman" w:hAnsi="Times New Roman" w:cs="Times New Roman"/>
              </w:rPr>
            </w:pPr>
            <w:r>
              <w:rPr>
                <w:rFonts w:ascii="Times New Roman" w:eastAsia="Times New Roman" w:hAnsi="Times New Roman" w:cs="Times New Roman"/>
              </w:rPr>
              <w:t xml:space="preserve">How long would a contract for this work be? This information would be helpful when calculating costs. It will take more funding to get the project up and running than it will when staff are tried, processes created, and reporting systems put in place. </w:t>
            </w:r>
          </w:p>
        </w:tc>
        <w:tc>
          <w:tcPr>
            <w:tcW w:w="5265" w:type="dxa"/>
            <w:shd w:val="clear" w:color="auto" w:fill="auto"/>
            <w:tcMar>
              <w:top w:w="100" w:type="dxa"/>
              <w:left w:w="100" w:type="dxa"/>
              <w:bottom w:w="100" w:type="dxa"/>
              <w:right w:w="100" w:type="dxa"/>
            </w:tcMar>
          </w:tcPr>
          <w:p w14:paraId="5B6A53EB" w14:textId="77777777" w:rsidR="00283EB8" w:rsidRDefault="00000000">
            <w:pPr>
              <w:widowControl w:val="0"/>
              <w:spacing w:line="240" w:lineRule="auto"/>
              <w:rPr>
                <w:rFonts w:ascii="Times New Roman" w:eastAsia="Times New Roman" w:hAnsi="Times New Roman" w:cs="Times New Roman"/>
              </w:rPr>
            </w:pPr>
            <w:r>
              <w:rPr>
                <w:rFonts w:ascii="Times New Roman" w:eastAsia="Times New Roman" w:hAnsi="Times New Roman" w:cs="Times New Roman"/>
              </w:rPr>
              <w:t xml:space="preserve">Please note that this RFI does not result in a contract and respondent submissions are not binding. The specifics of potential scope, contracting, and contract length have not been finalized. The State welcomes your insight into costs associated with program implementation and start-up to inform the State’s design and development of a potential program.  </w:t>
            </w:r>
          </w:p>
        </w:tc>
      </w:tr>
      <w:tr w:rsidR="00283EB8" w14:paraId="01239D07" w14:textId="77777777">
        <w:tc>
          <w:tcPr>
            <w:tcW w:w="4095" w:type="dxa"/>
            <w:shd w:val="clear" w:color="auto" w:fill="auto"/>
            <w:tcMar>
              <w:top w:w="100" w:type="dxa"/>
              <w:left w:w="100" w:type="dxa"/>
              <w:bottom w:w="100" w:type="dxa"/>
              <w:right w:w="100" w:type="dxa"/>
            </w:tcMar>
          </w:tcPr>
          <w:p w14:paraId="53F25D56" w14:textId="77777777" w:rsidR="00283EB8" w:rsidRDefault="00000000">
            <w:pPr>
              <w:widowControl w:val="0"/>
              <w:numPr>
                <w:ilvl w:val="0"/>
                <w:numId w:val="1"/>
              </w:numPr>
              <w:spacing w:line="240" w:lineRule="auto"/>
              <w:rPr>
                <w:rFonts w:ascii="Times New Roman" w:eastAsia="Times New Roman" w:hAnsi="Times New Roman" w:cs="Times New Roman"/>
              </w:rPr>
            </w:pPr>
            <w:r>
              <w:rPr>
                <w:rFonts w:ascii="Times New Roman" w:eastAsia="Times New Roman" w:hAnsi="Times New Roman" w:cs="Times New Roman"/>
              </w:rPr>
              <w:t xml:space="preserve">What is the estimated number of families who will be served in year 1? How many additional families do you expect to serve in subsequent years or as the project grows? </w:t>
            </w:r>
          </w:p>
        </w:tc>
        <w:tc>
          <w:tcPr>
            <w:tcW w:w="5265" w:type="dxa"/>
            <w:shd w:val="clear" w:color="auto" w:fill="auto"/>
            <w:tcMar>
              <w:top w:w="100" w:type="dxa"/>
              <w:left w:w="100" w:type="dxa"/>
              <w:bottom w:w="100" w:type="dxa"/>
              <w:right w:w="100" w:type="dxa"/>
            </w:tcMar>
          </w:tcPr>
          <w:p w14:paraId="13F38AE1" w14:textId="77777777" w:rsidR="00283EB8" w:rsidRDefault="00000000">
            <w:pPr>
              <w:widowControl w:val="0"/>
              <w:spacing w:line="240" w:lineRule="auto"/>
              <w:rPr>
                <w:rFonts w:ascii="Times New Roman" w:eastAsia="Times New Roman" w:hAnsi="Times New Roman" w:cs="Times New Roman"/>
              </w:rPr>
            </w:pPr>
            <w:r>
              <w:rPr>
                <w:rFonts w:ascii="Times New Roman" w:eastAsia="Times New Roman" w:hAnsi="Times New Roman" w:cs="Times New Roman"/>
              </w:rPr>
              <w:t>At this time, the program team anticipates that the three pilot homes will be at full capacity (with an estimated four children at any given time) throughout the pilot. The anticipated average length of stay in a Youth Transitional Home is four to six months, which results in an estimated eight to 12 children served per year in each home. However, these numbers are subject to change for future potential procurement and contracting opportunities pending responses to this RFI.</w:t>
            </w:r>
          </w:p>
        </w:tc>
      </w:tr>
      <w:tr w:rsidR="00283EB8" w14:paraId="526D1BEC" w14:textId="77777777">
        <w:tc>
          <w:tcPr>
            <w:tcW w:w="4095" w:type="dxa"/>
            <w:shd w:val="clear" w:color="auto" w:fill="auto"/>
            <w:tcMar>
              <w:top w:w="100" w:type="dxa"/>
              <w:left w:w="100" w:type="dxa"/>
              <w:bottom w:w="100" w:type="dxa"/>
              <w:right w:w="100" w:type="dxa"/>
            </w:tcMar>
          </w:tcPr>
          <w:p w14:paraId="4E4BCD5D" w14:textId="77777777" w:rsidR="00283EB8" w:rsidRDefault="00000000">
            <w:pPr>
              <w:widowControl w:val="0"/>
              <w:numPr>
                <w:ilvl w:val="0"/>
                <w:numId w:val="1"/>
              </w:numPr>
              <w:spacing w:line="240" w:lineRule="auto"/>
              <w:rPr>
                <w:rFonts w:ascii="Times New Roman" w:eastAsia="Times New Roman" w:hAnsi="Times New Roman" w:cs="Times New Roman"/>
              </w:rPr>
            </w:pPr>
            <w:r>
              <w:rPr>
                <w:rFonts w:ascii="Times New Roman" w:eastAsia="Times New Roman" w:hAnsi="Times New Roman" w:cs="Times New Roman"/>
              </w:rPr>
              <w:t xml:space="preserve">We are specifically equipped to provide caregiver coaching. What do you expect the caregiver coaching provider to offer to the youth in transition? </w:t>
            </w:r>
          </w:p>
        </w:tc>
        <w:tc>
          <w:tcPr>
            <w:tcW w:w="5265" w:type="dxa"/>
            <w:shd w:val="clear" w:color="auto" w:fill="auto"/>
            <w:tcMar>
              <w:top w:w="100" w:type="dxa"/>
              <w:left w:w="100" w:type="dxa"/>
              <w:bottom w:w="100" w:type="dxa"/>
              <w:right w:w="100" w:type="dxa"/>
            </w:tcMar>
          </w:tcPr>
          <w:p w14:paraId="4D124EFD" w14:textId="4DD37EEC" w:rsidR="00283EB8" w:rsidRDefault="00000000">
            <w:pPr>
              <w:widowControl w:val="0"/>
              <w:spacing w:line="240" w:lineRule="auto"/>
              <w:rPr>
                <w:rFonts w:ascii="Times New Roman" w:eastAsia="Times New Roman" w:hAnsi="Times New Roman" w:cs="Times New Roman"/>
              </w:rPr>
            </w:pPr>
            <w:r>
              <w:rPr>
                <w:rFonts w:ascii="Times New Roman" w:eastAsia="Times New Roman" w:hAnsi="Times New Roman" w:cs="Times New Roman"/>
              </w:rPr>
              <w:t xml:space="preserve">Caregiver coaching services will be focused on the caregivers so that they can best facilitate their child’s transition from the Youth Transitional Homes back to the home setting and ensure long-term stability. Caregiver coaching services should be tailored to the individualized needs of the youth and caregiver unit </w:t>
            </w:r>
            <w:proofErr w:type="gramStart"/>
            <w:r>
              <w:rPr>
                <w:rFonts w:ascii="Times New Roman" w:eastAsia="Times New Roman" w:hAnsi="Times New Roman" w:cs="Times New Roman"/>
              </w:rPr>
              <w:t>as a whole to</w:t>
            </w:r>
            <w:proofErr w:type="gramEnd"/>
            <w:r>
              <w:rPr>
                <w:rFonts w:ascii="Times New Roman" w:eastAsia="Times New Roman" w:hAnsi="Times New Roman" w:cs="Times New Roman"/>
              </w:rPr>
              <w:t xml:space="preserve"> ensure effective caregiver coaching outcomes. Providers of caregiver coaching services will engage with the youth as it is necessary for the success of their caregiver services, including coordinating caregiver services with the youth’s treatment plan both while the youth is in the Transitional Home and back in their home environment. For example, providers may observe and engage youth as part of assessing the readiness of caregivers to support their youth back in their home environment. </w:t>
            </w:r>
            <w:r w:rsidR="002F7305">
              <w:rPr>
                <w:rFonts w:ascii="Times New Roman" w:eastAsia="Times New Roman" w:hAnsi="Times New Roman" w:cs="Times New Roman"/>
              </w:rPr>
              <w:t>Caregiver coaching providers will not be required to provide direct services to the youth.</w:t>
            </w:r>
          </w:p>
        </w:tc>
      </w:tr>
      <w:tr w:rsidR="00283EB8" w14:paraId="4751D23B" w14:textId="77777777">
        <w:tc>
          <w:tcPr>
            <w:tcW w:w="4095" w:type="dxa"/>
            <w:shd w:val="clear" w:color="auto" w:fill="auto"/>
            <w:tcMar>
              <w:top w:w="100" w:type="dxa"/>
              <w:left w:w="100" w:type="dxa"/>
              <w:bottom w:w="100" w:type="dxa"/>
              <w:right w:w="100" w:type="dxa"/>
            </w:tcMar>
          </w:tcPr>
          <w:p w14:paraId="3ED508AC" w14:textId="77777777" w:rsidR="00283EB8" w:rsidRDefault="00000000">
            <w:pPr>
              <w:widowControl w:val="0"/>
              <w:numPr>
                <w:ilvl w:val="0"/>
                <w:numId w:val="1"/>
              </w:numPr>
              <w:spacing w:line="240" w:lineRule="auto"/>
              <w:rPr>
                <w:rFonts w:ascii="Times New Roman" w:eastAsia="Times New Roman" w:hAnsi="Times New Roman" w:cs="Times New Roman"/>
              </w:rPr>
            </w:pPr>
            <w:r>
              <w:rPr>
                <w:rFonts w:ascii="Times New Roman" w:eastAsia="Times New Roman" w:hAnsi="Times New Roman" w:cs="Times New Roman"/>
              </w:rPr>
              <w:t>The overview packet mentions that some of the youth will have intellectual/developmental disabilities. Can you give us an idea of the percentage of youth with mental health and substance use disorder, the number with I/DD and the number with BOTH who might participate in the project?</w:t>
            </w:r>
          </w:p>
        </w:tc>
        <w:tc>
          <w:tcPr>
            <w:tcW w:w="5265" w:type="dxa"/>
            <w:shd w:val="clear" w:color="auto" w:fill="auto"/>
            <w:tcMar>
              <w:top w:w="100" w:type="dxa"/>
              <w:left w:w="100" w:type="dxa"/>
              <w:bottom w:w="100" w:type="dxa"/>
              <w:right w:w="100" w:type="dxa"/>
            </w:tcMar>
          </w:tcPr>
          <w:p w14:paraId="0DBA8375" w14:textId="77777777" w:rsidR="00283EB8" w:rsidRDefault="00000000">
            <w:pPr>
              <w:widowControl w:val="0"/>
              <w:spacing w:line="240" w:lineRule="auto"/>
              <w:rPr>
                <w:rFonts w:ascii="Times New Roman" w:eastAsia="Times New Roman" w:hAnsi="Times New Roman" w:cs="Times New Roman"/>
              </w:rPr>
            </w:pPr>
            <w:r>
              <w:rPr>
                <w:rFonts w:ascii="Times New Roman" w:eastAsia="Times New Roman" w:hAnsi="Times New Roman" w:cs="Times New Roman"/>
              </w:rPr>
              <w:t>The State does not have an estimated percentage of these populations at this time; however, the State anticipates many of the children could have multiple diagnoses (incl. mood disorders), a history of placement disruptions, intellectual and/or developmental disabilities, as well as behavioral and/or mental health concerns.</w:t>
            </w:r>
          </w:p>
        </w:tc>
      </w:tr>
      <w:tr w:rsidR="00283EB8" w14:paraId="2F80507A" w14:textId="77777777">
        <w:tc>
          <w:tcPr>
            <w:tcW w:w="4095" w:type="dxa"/>
            <w:shd w:val="clear" w:color="auto" w:fill="auto"/>
            <w:tcMar>
              <w:top w:w="100" w:type="dxa"/>
              <w:left w:w="100" w:type="dxa"/>
              <w:bottom w:w="100" w:type="dxa"/>
              <w:right w:w="100" w:type="dxa"/>
            </w:tcMar>
          </w:tcPr>
          <w:p w14:paraId="28FAFA27" w14:textId="77777777" w:rsidR="00283EB8" w:rsidRPr="001457E3" w:rsidRDefault="00000000">
            <w:pPr>
              <w:widowControl w:val="0"/>
              <w:numPr>
                <w:ilvl w:val="0"/>
                <w:numId w:val="1"/>
              </w:numPr>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lastRenderedPageBreak/>
              <w:t>How will the Youth Transitional Homes and Caregiver Coaching Program be funded?</w:t>
            </w:r>
          </w:p>
        </w:tc>
        <w:tc>
          <w:tcPr>
            <w:tcW w:w="5265" w:type="dxa"/>
            <w:shd w:val="clear" w:color="auto" w:fill="auto"/>
            <w:tcMar>
              <w:top w:w="100" w:type="dxa"/>
              <w:left w:w="100" w:type="dxa"/>
              <w:bottom w:w="100" w:type="dxa"/>
              <w:right w:w="100" w:type="dxa"/>
            </w:tcMar>
          </w:tcPr>
          <w:p w14:paraId="3F5B600B" w14:textId="3D6A1A93" w:rsidR="00283EB8" w:rsidRPr="001457E3" w:rsidRDefault="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While some funding has been identified for the pilot program, we are still in the process of finalizing how this program will be funded. Responses to this RFI are anticipated to inform how this program is licensed and funded. Some of the items we are soliciting input on include estimates for implementation/start-up costs, staffing expenditures, therapy and care costs, home and licensure costs, and caregiver coaching costs.</w:t>
            </w:r>
          </w:p>
        </w:tc>
      </w:tr>
      <w:tr w:rsidR="00283EB8" w14:paraId="6FD41136" w14:textId="77777777">
        <w:tc>
          <w:tcPr>
            <w:tcW w:w="4095" w:type="dxa"/>
            <w:shd w:val="clear" w:color="auto" w:fill="auto"/>
            <w:tcMar>
              <w:top w:w="100" w:type="dxa"/>
              <w:left w:w="100" w:type="dxa"/>
              <w:bottom w:w="100" w:type="dxa"/>
              <w:right w:w="100" w:type="dxa"/>
            </w:tcMar>
          </w:tcPr>
          <w:p w14:paraId="689C20EC" w14:textId="77777777" w:rsidR="00283EB8" w:rsidRPr="001457E3" w:rsidRDefault="00000000">
            <w:pPr>
              <w:widowControl w:val="0"/>
              <w:numPr>
                <w:ilvl w:val="0"/>
                <w:numId w:val="1"/>
              </w:numPr>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 xml:space="preserve">How will </w:t>
            </w:r>
            <w:proofErr w:type="gramStart"/>
            <w:r w:rsidRPr="001457E3">
              <w:rPr>
                <w:rFonts w:ascii="Times New Roman" w:eastAsia="Times New Roman" w:hAnsi="Times New Roman" w:cs="Times New Roman"/>
                <w:iCs/>
              </w:rPr>
              <w:t>the Youth</w:t>
            </w:r>
            <w:proofErr w:type="gramEnd"/>
            <w:r w:rsidRPr="001457E3">
              <w:rPr>
                <w:rFonts w:ascii="Times New Roman" w:eastAsia="Times New Roman" w:hAnsi="Times New Roman" w:cs="Times New Roman"/>
                <w:iCs/>
              </w:rPr>
              <w:t xml:space="preserve"> Transitional Homes be licensed?</w:t>
            </w:r>
          </w:p>
        </w:tc>
        <w:tc>
          <w:tcPr>
            <w:tcW w:w="5265" w:type="dxa"/>
            <w:shd w:val="clear" w:color="auto" w:fill="auto"/>
            <w:tcMar>
              <w:top w:w="100" w:type="dxa"/>
              <w:left w:w="100" w:type="dxa"/>
              <w:bottom w:w="100" w:type="dxa"/>
              <w:right w:w="100" w:type="dxa"/>
            </w:tcMar>
          </w:tcPr>
          <w:p w14:paraId="48A7FE50" w14:textId="7E07E30E" w:rsidR="00283EB8" w:rsidRPr="001457E3" w:rsidRDefault="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 xml:space="preserve">The specifics of </w:t>
            </w:r>
            <w:proofErr w:type="gramStart"/>
            <w:r w:rsidRPr="001457E3">
              <w:rPr>
                <w:rFonts w:ascii="Times New Roman" w:eastAsia="Times New Roman" w:hAnsi="Times New Roman" w:cs="Times New Roman"/>
                <w:iCs/>
              </w:rPr>
              <w:t>licensure</w:t>
            </w:r>
            <w:proofErr w:type="gramEnd"/>
            <w:r w:rsidRPr="001457E3">
              <w:rPr>
                <w:rFonts w:ascii="Times New Roman" w:eastAsia="Times New Roman" w:hAnsi="Times New Roman" w:cs="Times New Roman"/>
                <w:iCs/>
              </w:rPr>
              <w:t xml:space="preserve"> have not been finalized and the state welcomes your insight into programming and licensure to help collaboratively shape this program to be maximally impactful.</w:t>
            </w:r>
          </w:p>
        </w:tc>
      </w:tr>
      <w:tr w:rsidR="00283EB8" w14:paraId="5FD02438" w14:textId="77777777">
        <w:tc>
          <w:tcPr>
            <w:tcW w:w="4095" w:type="dxa"/>
            <w:shd w:val="clear" w:color="auto" w:fill="auto"/>
            <w:tcMar>
              <w:top w:w="100" w:type="dxa"/>
              <w:left w:w="100" w:type="dxa"/>
              <w:bottom w:w="100" w:type="dxa"/>
              <w:right w:w="100" w:type="dxa"/>
            </w:tcMar>
          </w:tcPr>
          <w:p w14:paraId="35A52FC4" w14:textId="77777777" w:rsidR="00283EB8" w:rsidRPr="001457E3" w:rsidRDefault="00000000">
            <w:pPr>
              <w:widowControl w:val="0"/>
              <w:numPr>
                <w:ilvl w:val="0"/>
                <w:numId w:val="1"/>
              </w:numPr>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Can I respond to either the Youth Transitional Homes or Caregiver Coaching components of the RFI?</w:t>
            </w:r>
          </w:p>
        </w:tc>
        <w:tc>
          <w:tcPr>
            <w:tcW w:w="5265" w:type="dxa"/>
            <w:shd w:val="clear" w:color="auto" w:fill="auto"/>
            <w:tcMar>
              <w:top w:w="100" w:type="dxa"/>
              <w:left w:w="100" w:type="dxa"/>
              <w:bottom w:w="100" w:type="dxa"/>
              <w:right w:w="100" w:type="dxa"/>
            </w:tcMar>
          </w:tcPr>
          <w:p w14:paraId="1D264274" w14:textId="46862411" w:rsidR="00283EB8" w:rsidRPr="001457E3" w:rsidRDefault="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Yes, while we prefer respondents to respond to both components of the RFI when able, we welcome respondents to respond to either or both components of the RFI based on their experience and expertise.</w:t>
            </w:r>
          </w:p>
        </w:tc>
      </w:tr>
      <w:tr w:rsidR="00283EB8" w14:paraId="13A52173" w14:textId="77777777">
        <w:tc>
          <w:tcPr>
            <w:tcW w:w="4095" w:type="dxa"/>
            <w:shd w:val="clear" w:color="auto" w:fill="auto"/>
            <w:tcMar>
              <w:top w:w="100" w:type="dxa"/>
              <w:left w:w="100" w:type="dxa"/>
              <w:bottom w:w="100" w:type="dxa"/>
              <w:right w:w="100" w:type="dxa"/>
            </w:tcMar>
          </w:tcPr>
          <w:p w14:paraId="4F0A6E81" w14:textId="77777777" w:rsidR="00283EB8" w:rsidRPr="001457E3" w:rsidRDefault="00000000">
            <w:pPr>
              <w:widowControl w:val="0"/>
              <w:numPr>
                <w:ilvl w:val="0"/>
                <w:numId w:val="1"/>
              </w:numPr>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What differentiates Youth Transitional Homes from standard group homes and what will prevent children getting stuck in these homes for a long period of time?</w:t>
            </w:r>
          </w:p>
        </w:tc>
        <w:tc>
          <w:tcPr>
            <w:tcW w:w="5265" w:type="dxa"/>
            <w:shd w:val="clear" w:color="auto" w:fill="auto"/>
            <w:tcMar>
              <w:top w:w="100" w:type="dxa"/>
              <w:left w:w="100" w:type="dxa"/>
              <w:bottom w:w="100" w:type="dxa"/>
              <w:right w:w="100" w:type="dxa"/>
            </w:tcMar>
          </w:tcPr>
          <w:p w14:paraId="5E3E35DC" w14:textId="5B8B088B" w:rsidR="00283EB8" w:rsidRPr="001457E3" w:rsidRDefault="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 xml:space="preserve">The key differentiators of this program are the population served and the mandatory caregiver coaching. This program is designed for youth with high acuity needs who are either ready to step down from residential care or who could be maintained in the community to prevent escalation to more restrictive settings. Caregiver participation is required, as active involvement is essential to the program’s success. Through coaching, caregivers gain enhanced skills to address their youth’s unique needs, support their progress, and foster a stable home environment. This approach, based on best practices, emphasizes the importance of working with both the youth and caregivers to build a supportive and effective transition home. Additionally, these homes will work closely with the youth and their caregivers to ensure that treatment approaches and strategies are effective within the transitional </w:t>
            </w:r>
            <w:proofErr w:type="gramStart"/>
            <w:r w:rsidRPr="001457E3">
              <w:rPr>
                <w:rFonts w:ascii="Times New Roman" w:eastAsia="Times New Roman" w:hAnsi="Times New Roman" w:cs="Times New Roman"/>
                <w:iCs/>
              </w:rPr>
              <w:t>home,</w:t>
            </w:r>
            <w:proofErr w:type="gramEnd"/>
            <w:r w:rsidRPr="001457E3">
              <w:rPr>
                <w:rFonts w:ascii="Times New Roman" w:eastAsia="Times New Roman" w:hAnsi="Times New Roman" w:cs="Times New Roman"/>
                <w:iCs/>
              </w:rPr>
              <w:t xml:space="preserve"> while also connecting the youth with community-based services to help ensure they have the support in place to be successful once they transition back to their home environment.</w:t>
            </w:r>
          </w:p>
        </w:tc>
      </w:tr>
      <w:tr w:rsidR="00283EB8" w14:paraId="50355926" w14:textId="77777777">
        <w:tc>
          <w:tcPr>
            <w:tcW w:w="4095" w:type="dxa"/>
            <w:shd w:val="clear" w:color="auto" w:fill="auto"/>
            <w:tcMar>
              <w:top w:w="100" w:type="dxa"/>
              <w:left w:w="100" w:type="dxa"/>
              <w:bottom w:w="100" w:type="dxa"/>
              <w:right w:w="100" w:type="dxa"/>
            </w:tcMar>
          </w:tcPr>
          <w:p w14:paraId="4100FB2A" w14:textId="77777777" w:rsidR="00283EB8" w:rsidRPr="001457E3" w:rsidRDefault="00000000">
            <w:pPr>
              <w:widowControl w:val="0"/>
              <w:numPr>
                <w:ilvl w:val="0"/>
                <w:numId w:val="1"/>
              </w:numPr>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Why is the state adding more residential options for youth when we know that youth have the best outcomes receiving services in the community?</w:t>
            </w:r>
          </w:p>
        </w:tc>
        <w:tc>
          <w:tcPr>
            <w:tcW w:w="5265" w:type="dxa"/>
            <w:shd w:val="clear" w:color="auto" w:fill="auto"/>
            <w:tcMar>
              <w:top w:w="100" w:type="dxa"/>
              <w:left w:w="100" w:type="dxa"/>
              <w:bottom w:w="100" w:type="dxa"/>
              <w:right w:w="100" w:type="dxa"/>
            </w:tcMar>
          </w:tcPr>
          <w:p w14:paraId="3818038A" w14:textId="77777777" w:rsidR="002F7305" w:rsidRPr="001457E3" w:rsidRDefault="002F7305" w:rsidP="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 xml:space="preserve">Youth with high acuity needs, even when determined ready for discharge from residential care, still require intensive </w:t>
            </w:r>
            <w:proofErr w:type="gramStart"/>
            <w:r w:rsidRPr="001457E3">
              <w:rPr>
                <w:rFonts w:ascii="Times New Roman" w:eastAsia="Times New Roman" w:hAnsi="Times New Roman" w:cs="Times New Roman"/>
                <w:iCs/>
              </w:rPr>
              <w:t>supports</w:t>
            </w:r>
            <w:proofErr w:type="gramEnd"/>
            <w:r w:rsidRPr="001457E3">
              <w:rPr>
                <w:rFonts w:ascii="Times New Roman" w:eastAsia="Times New Roman" w:hAnsi="Times New Roman" w:cs="Times New Roman"/>
                <w:iCs/>
              </w:rPr>
              <w:t xml:space="preserve">, and transitioning directly from a residential facility to the home environment can be challenging for any family. Caregivers play a critical role in making this transition successful. This program provides dedicated, professional </w:t>
            </w:r>
            <w:proofErr w:type="gramStart"/>
            <w:r w:rsidRPr="001457E3">
              <w:rPr>
                <w:rFonts w:ascii="Times New Roman" w:eastAsia="Times New Roman" w:hAnsi="Times New Roman" w:cs="Times New Roman"/>
                <w:iCs/>
              </w:rPr>
              <w:t>supports</w:t>
            </w:r>
            <w:proofErr w:type="gramEnd"/>
            <w:r w:rsidRPr="001457E3">
              <w:rPr>
                <w:rFonts w:ascii="Times New Roman" w:eastAsia="Times New Roman" w:hAnsi="Times New Roman" w:cs="Times New Roman"/>
                <w:iCs/>
              </w:rPr>
              <w:t xml:space="preserve"> to help caregivers prepare both themselves and the home environment for the youth’s return, putting them in the </w:t>
            </w:r>
            <w:r w:rsidRPr="001457E3">
              <w:rPr>
                <w:rFonts w:ascii="Times New Roman" w:eastAsia="Times New Roman" w:hAnsi="Times New Roman" w:cs="Times New Roman"/>
                <w:iCs/>
              </w:rPr>
              <w:lastRenderedPageBreak/>
              <w:t>best position to support a successful transition. These homes are designed as an intermediary residential option, providing a structured, supportive environment that bridges the gap between residential care and the home setting. These homes prioritize community-integrated services for youth and prioritize increasing visits and engagement with their home and community. This gradual transition is guided by the youth’s level of need.</w:t>
            </w:r>
          </w:p>
          <w:p w14:paraId="73617DC8" w14:textId="77777777" w:rsidR="002F7305" w:rsidRPr="001457E3" w:rsidRDefault="002F7305" w:rsidP="002F7305">
            <w:pPr>
              <w:widowControl w:val="0"/>
              <w:pBdr>
                <w:top w:val="nil"/>
                <w:left w:val="nil"/>
                <w:bottom w:val="nil"/>
                <w:right w:val="nil"/>
                <w:between w:val="nil"/>
              </w:pBdr>
              <w:spacing w:line="240" w:lineRule="auto"/>
              <w:rPr>
                <w:rFonts w:ascii="Times New Roman" w:eastAsia="Times New Roman" w:hAnsi="Times New Roman" w:cs="Times New Roman"/>
                <w:iCs/>
              </w:rPr>
            </w:pPr>
          </w:p>
          <w:p w14:paraId="5DB0518C" w14:textId="44BE7473" w:rsidR="00283EB8" w:rsidRPr="001457E3" w:rsidRDefault="002F7305" w:rsidP="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By offering this intermediary residential option for youth with high acuity needs, the program not only supports a smooth transition out of residential care but also reduces the likelihood of re-admissions. Ultimately, the goal of Youth Transitional Homes is to decrease the total amount of time a youth will spend in residential or acute care by providing holistic, supportive care to the entire family unit, setting them up for long-term success in their community.</w:t>
            </w:r>
          </w:p>
        </w:tc>
      </w:tr>
      <w:tr w:rsidR="00283EB8" w14:paraId="15626B91" w14:textId="77777777">
        <w:tc>
          <w:tcPr>
            <w:tcW w:w="4095" w:type="dxa"/>
            <w:shd w:val="clear" w:color="auto" w:fill="auto"/>
            <w:tcMar>
              <w:top w:w="100" w:type="dxa"/>
              <w:left w:w="100" w:type="dxa"/>
              <w:bottom w:w="100" w:type="dxa"/>
              <w:right w:w="100" w:type="dxa"/>
            </w:tcMar>
          </w:tcPr>
          <w:p w14:paraId="29A9F939" w14:textId="77777777" w:rsidR="00283EB8" w:rsidRPr="001457E3" w:rsidRDefault="00000000">
            <w:pPr>
              <w:widowControl w:val="0"/>
              <w:numPr>
                <w:ilvl w:val="0"/>
                <w:numId w:val="1"/>
              </w:numPr>
              <w:pBdr>
                <w:top w:val="nil"/>
                <w:left w:val="nil"/>
                <w:bottom w:val="nil"/>
                <w:right w:val="nil"/>
                <w:between w:val="nil"/>
              </w:pBdr>
              <w:spacing w:line="240" w:lineRule="auto"/>
              <w:ind w:left="360" w:hanging="360"/>
              <w:rPr>
                <w:rFonts w:ascii="Times New Roman" w:eastAsia="Times New Roman" w:hAnsi="Times New Roman" w:cs="Times New Roman"/>
                <w:iCs/>
              </w:rPr>
            </w:pPr>
            <w:r w:rsidRPr="001457E3">
              <w:rPr>
                <w:rFonts w:ascii="Times New Roman" w:eastAsia="Times New Roman" w:hAnsi="Times New Roman" w:cs="Times New Roman"/>
                <w:iCs/>
              </w:rPr>
              <w:lastRenderedPageBreak/>
              <w:t xml:space="preserve">What happens when a </w:t>
            </w:r>
            <w:proofErr w:type="gramStart"/>
            <w:r w:rsidRPr="001457E3">
              <w:rPr>
                <w:rFonts w:ascii="Times New Roman" w:eastAsia="Times New Roman" w:hAnsi="Times New Roman" w:cs="Times New Roman"/>
                <w:iCs/>
              </w:rPr>
              <w:t>youth’s</w:t>
            </w:r>
            <w:proofErr w:type="gramEnd"/>
            <w:r w:rsidRPr="001457E3">
              <w:rPr>
                <w:rFonts w:ascii="Times New Roman" w:eastAsia="Times New Roman" w:hAnsi="Times New Roman" w:cs="Times New Roman"/>
                <w:iCs/>
              </w:rPr>
              <w:t xml:space="preserve"> caregiver does not want to be engaged?</w:t>
            </w:r>
          </w:p>
        </w:tc>
        <w:tc>
          <w:tcPr>
            <w:tcW w:w="5265" w:type="dxa"/>
            <w:shd w:val="clear" w:color="auto" w:fill="auto"/>
            <w:tcMar>
              <w:top w:w="100" w:type="dxa"/>
              <w:left w:w="100" w:type="dxa"/>
              <w:bottom w:w="100" w:type="dxa"/>
              <w:right w:w="100" w:type="dxa"/>
            </w:tcMar>
          </w:tcPr>
          <w:p w14:paraId="78CAC131" w14:textId="0108A4A1" w:rsidR="00283EB8" w:rsidRPr="001457E3" w:rsidRDefault="002F7305">
            <w:pPr>
              <w:widowControl w:val="0"/>
              <w:pBdr>
                <w:top w:val="nil"/>
                <w:left w:val="nil"/>
                <w:bottom w:val="nil"/>
                <w:right w:val="nil"/>
                <w:between w:val="nil"/>
              </w:pBdr>
              <w:spacing w:line="240" w:lineRule="auto"/>
              <w:rPr>
                <w:rFonts w:ascii="Times New Roman" w:eastAsia="Times New Roman" w:hAnsi="Times New Roman" w:cs="Times New Roman"/>
                <w:iCs/>
              </w:rPr>
            </w:pPr>
            <w:r w:rsidRPr="001457E3">
              <w:rPr>
                <w:rFonts w:ascii="Times New Roman" w:eastAsia="Times New Roman" w:hAnsi="Times New Roman" w:cs="Times New Roman"/>
                <w:iCs/>
              </w:rPr>
              <w:t>The potential pilot program is designed for youth with high acuity needs whose caregivers are committed to being actively involved. Caregiver participation in scheduled training sessions and other support activities is required to ensure a successful transition for the youth. Providers will regularly engage caregivers through structured training, home visits, and check-ins to support skill development and address any concerns. Recognizing that engagement may fluctuate, providers will use outreach techniques, resources, and flexible support options to help sustain caregiver involvement and meet program goals. Respondents are encouraged to suggest strategies to sustain caregiver engagement and address potential challenges.</w:t>
            </w:r>
          </w:p>
        </w:tc>
      </w:tr>
    </w:tbl>
    <w:p w14:paraId="7BC54967" w14:textId="77777777" w:rsidR="00283EB8" w:rsidRDefault="00283EB8">
      <w:pPr>
        <w:rPr>
          <w:rFonts w:ascii="Times New Roman" w:eastAsia="Times New Roman" w:hAnsi="Times New Roman" w:cs="Times New Roman"/>
        </w:rPr>
      </w:pPr>
    </w:p>
    <w:sectPr w:rsidR="00283EB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D96896"/>
    <w:multiLevelType w:val="multilevel"/>
    <w:tmpl w:val="0E9CC08E"/>
    <w:lvl w:ilvl="0">
      <w:start w:val="1"/>
      <w:numFmt w:val="decimal"/>
      <w:lvlText w:val="%1."/>
      <w:lvlJc w:val="left"/>
      <w:pPr>
        <w:ind w:left="27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538132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EB8"/>
    <w:rsid w:val="001457E3"/>
    <w:rsid w:val="001875A8"/>
    <w:rsid w:val="00283EB8"/>
    <w:rsid w:val="002F7305"/>
    <w:rsid w:val="00911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4FECD"/>
  <w15:docId w15:val="{C0F49EE7-3461-4B21-B7DD-A6C1AC489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1230</Words>
  <Characters>7011</Characters>
  <Application>Microsoft Office Word</Application>
  <DocSecurity>0</DocSecurity>
  <Lines>58</Lines>
  <Paragraphs>16</Paragraphs>
  <ScaleCrop>false</ScaleCrop>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Rory Flanders</dc:creator>
  <cp:lastModifiedBy>RF</cp:lastModifiedBy>
  <cp:revision>2</cp:revision>
  <dcterms:created xsi:type="dcterms:W3CDTF">2024-12-05T01:17:00Z</dcterms:created>
  <dcterms:modified xsi:type="dcterms:W3CDTF">2024-12-05T01:17:00Z</dcterms:modified>
</cp:coreProperties>
</file>